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15FF4" w14:textId="3053C47D" w:rsidR="00AF6135" w:rsidRPr="00C84F38" w:rsidRDefault="00AF6135" w:rsidP="00AF6135">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#99</w:t>
      </w:r>
      <w:r>
        <w:rPr>
          <w:bCs/>
          <w:noProof w:val="0"/>
          <w:sz w:val="24"/>
          <w:szCs w:val="24"/>
        </w:rPr>
        <w:tab/>
      </w:r>
      <w:r w:rsidRPr="006210C8">
        <w:rPr>
          <w:bCs/>
          <w:noProof w:val="0"/>
          <w:sz w:val="24"/>
          <w:szCs w:val="24"/>
        </w:rPr>
        <w:t>R1-19</w:t>
      </w:r>
      <w:r>
        <w:rPr>
          <w:bCs/>
          <w:noProof w:val="0"/>
          <w:sz w:val="24"/>
          <w:szCs w:val="24"/>
        </w:rPr>
        <w:t>13</w:t>
      </w:r>
      <w:r>
        <w:rPr>
          <w:bCs/>
          <w:noProof w:val="0"/>
          <w:sz w:val="24"/>
          <w:szCs w:val="24"/>
        </w:rPr>
        <w:t>002</w:t>
      </w:r>
    </w:p>
    <w:p w14:paraId="16AADC2D" w14:textId="77777777" w:rsidR="00AF6135" w:rsidRPr="008E6434" w:rsidRDefault="00AF6135" w:rsidP="00AF6135">
      <w:pPr>
        <w:pStyle w:val="Header"/>
        <w:rPr>
          <w:bCs/>
          <w:noProof w:val="0"/>
          <w:sz w:val="24"/>
          <w:szCs w:val="24"/>
        </w:rPr>
      </w:pPr>
      <w:r>
        <w:rPr>
          <w:bCs/>
          <w:noProof w:val="0"/>
          <w:sz w:val="24"/>
          <w:szCs w:val="24"/>
        </w:rPr>
        <w:t>Reno, NV, USA, November 18</w:t>
      </w:r>
      <w:r w:rsidRPr="00E4038A">
        <w:rPr>
          <w:bCs/>
          <w:noProof w:val="0"/>
          <w:sz w:val="24"/>
          <w:szCs w:val="24"/>
          <w:vertAlign w:val="superscript"/>
        </w:rPr>
        <w:t>th</w:t>
      </w:r>
      <w:r>
        <w:rPr>
          <w:bCs/>
          <w:noProof w:val="0"/>
          <w:sz w:val="24"/>
          <w:szCs w:val="24"/>
        </w:rPr>
        <w:t xml:space="preserve"> – 22</w:t>
      </w:r>
      <w:r w:rsidRPr="00F51B69">
        <w:rPr>
          <w:bCs/>
          <w:noProof w:val="0"/>
          <w:sz w:val="24"/>
          <w:szCs w:val="24"/>
          <w:vertAlign w:val="superscript"/>
        </w:rPr>
        <w:t>nd</w:t>
      </w:r>
      <w:r>
        <w:rPr>
          <w:bCs/>
          <w:noProof w:val="0"/>
          <w:sz w:val="24"/>
          <w:szCs w:val="24"/>
        </w:rPr>
        <w:t xml:space="preserve"> </w:t>
      </w:r>
      <w:r>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bookmarkStart w:id="0" w:name="_GoBack"/>
      <w:bookmarkEnd w:id="0"/>
    </w:p>
    <w:p w14:paraId="3F2FD3AF" w14:textId="403F512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5E7D">
        <w:rPr>
          <w:rFonts w:cs="Arial"/>
          <w:b/>
          <w:bCs/>
          <w:sz w:val="24"/>
          <w:szCs w:val="24"/>
        </w:rPr>
        <w:t>7.2.13.6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06D48B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5E7D" w:rsidRPr="006C5E7D">
        <w:rPr>
          <w:rFonts w:ascii="Arial" w:hAnsi="Arial" w:cs="Arial"/>
          <w:b/>
          <w:bCs/>
          <w:sz w:val="24"/>
        </w:rPr>
        <w:t>CCS: Increased number of DCIs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7EE6982E" w14:textId="019CBE9F" w:rsidR="00885580" w:rsidRDefault="00CF59B2" w:rsidP="006C5E7D">
      <w:r>
        <w:t xml:space="preserve">Post-RAN1#98 collected the remaining open issues </w:t>
      </w:r>
      <w:proofErr w:type="gramStart"/>
      <w:r>
        <w:t>with regard to</w:t>
      </w:r>
      <w:proofErr w:type="gramEnd"/>
      <w:r>
        <w:t xml:space="preserve"> the cross-carrier scheduling with different numerologies. One issue still pending is how the low-SCS carrier should be able to schedule the high-SCS carrier</w:t>
      </w:r>
      <w:r w:rsidR="00244340">
        <w:t>.</w:t>
      </w:r>
    </w:p>
    <w:p w14:paraId="7549830B" w14:textId="2F7A9BE0" w:rsidR="00244340" w:rsidRDefault="00244340" w:rsidP="006C5E7D">
      <w:r>
        <w:t>Two candidate proposals emerged in the discussion [1]:</w:t>
      </w:r>
    </w:p>
    <w:p w14:paraId="1207B06D" w14:textId="0F5F3294" w:rsidR="00244340" w:rsidRDefault="00244340" w:rsidP="00244340">
      <w:pPr>
        <w:pStyle w:val="ListParagraph"/>
        <w:numPr>
          <w:ilvl w:val="0"/>
          <w:numId w:val="44"/>
        </w:numPr>
      </w:pPr>
      <w:r>
        <w:t>Multiple DCIs in one slot using UE capability 3-5b</w:t>
      </w:r>
    </w:p>
    <w:p w14:paraId="4FBA968B" w14:textId="1E2F2769" w:rsidR="00244340" w:rsidRDefault="00244340" w:rsidP="00244340">
      <w:pPr>
        <w:pStyle w:val="ListParagraph"/>
        <w:numPr>
          <w:ilvl w:val="0"/>
          <w:numId w:val="44"/>
        </w:numPr>
      </w:pPr>
      <w:r>
        <w:t>Increase the number of valid DCIs per monitoring occasion to [4] per scheduled cell</w:t>
      </w:r>
    </w:p>
    <w:p w14:paraId="052318C6" w14:textId="34FF98B1" w:rsidR="00AD3A33" w:rsidRDefault="00244340" w:rsidP="00AD3A33">
      <w:pPr>
        <w:pStyle w:val="Heading1"/>
      </w:pPr>
      <w:r>
        <w:t>Operation with FG3-5b</w:t>
      </w:r>
    </w:p>
    <w:p w14:paraId="2E7A06D9" w14:textId="703160CB" w:rsidR="00AD3A33" w:rsidRDefault="002F298D" w:rsidP="00AD3A33">
      <w:pPr>
        <w:spacing w:after="0"/>
        <w:rPr>
          <w:lang w:val="en-US"/>
        </w:rPr>
      </w:pPr>
      <w:r>
        <w:rPr>
          <w:lang w:val="en-US"/>
        </w:rPr>
        <w:t xml:space="preserve">FG3-5b </w:t>
      </w:r>
      <w:r w:rsidR="009864E7">
        <w:rPr>
          <w:lang w:val="en-US"/>
        </w:rPr>
        <w:t xml:space="preserve">specified as </w:t>
      </w:r>
      <w:proofErr w:type="spellStart"/>
      <w:r w:rsidR="009864E7">
        <w:rPr>
          <w:i/>
          <w:lang w:val="en-US"/>
        </w:rPr>
        <w:t>pdcch-MonitoringAnyOccasionsWithSpanGap</w:t>
      </w:r>
      <w:proofErr w:type="spellEnd"/>
      <w:r w:rsidR="009864E7">
        <w:rPr>
          <w:lang w:val="en-US"/>
        </w:rPr>
        <w:t xml:space="preserve"> in Ts38.308 as below</w:t>
      </w:r>
      <w:r>
        <w:rPr>
          <w:lang w:val="en-US"/>
        </w:rPr>
        <w:t xml:space="preserve">: </w:t>
      </w:r>
    </w:p>
    <w:p w14:paraId="315B2CB4" w14:textId="77777777" w:rsidR="009864E7" w:rsidRDefault="009864E7" w:rsidP="00AD3A33">
      <w:pPr>
        <w:spacing w:after="0"/>
        <w:rPr>
          <w:lang w:val="en-US"/>
        </w:rPr>
      </w:pPr>
    </w:p>
    <w:p w14:paraId="557F63C3" w14:textId="77777777" w:rsidR="009864E7" w:rsidRPr="007F6587" w:rsidRDefault="009864E7" w:rsidP="007F6587">
      <w:pPr>
        <w:pStyle w:val="TAL"/>
        <w:ind w:left="284"/>
        <w:rPr>
          <w:b/>
          <w:i/>
          <w:color w:val="0070C0"/>
        </w:rPr>
      </w:pPr>
      <w:proofErr w:type="spellStart"/>
      <w:r w:rsidRPr="007F6587">
        <w:rPr>
          <w:b/>
          <w:i/>
          <w:color w:val="0070C0"/>
        </w:rPr>
        <w:t>pdcch-MonitoringAnyOccasionsWithSpanGap</w:t>
      </w:r>
      <w:proofErr w:type="spellEnd"/>
    </w:p>
    <w:p w14:paraId="7A00F45C" w14:textId="77777777" w:rsidR="007F6587" w:rsidRPr="007F6587" w:rsidRDefault="009864E7" w:rsidP="007F6587">
      <w:pPr>
        <w:ind w:left="284"/>
        <w:rPr>
          <w:rFonts w:cs="Arial"/>
          <w:color w:val="0070C0"/>
          <w:szCs w:val="18"/>
        </w:rPr>
      </w:pPr>
      <w:r w:rsidRPr="007F6587">
        <w:rPr>
          <w:rFonts w:cs="Arial"/>
          <w:color w:val="0070C0"/>
          <w:szCs w:val="18"/>
        </w:rPr>
        <w:t xml:space="preserve">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w:t>
      </w:r>
    </w:p>
    <w:p w14:paraId="0276794B" w14:textId="77777777" w:rsidR="007F6587" w:rsidRPr="007F6587" w:rsidRDefault="009864E7" w:rsidP="007F6587">
      <w:pPr>
        <w:pStyle w:val="ListParagraph"/>
        <w:numPr>
          <w:ilvl w:val="0"/>
          <w:numId w:val="45"/>
        </w:numPr>
        <w:rPr>
          <w:color w:val="0070C0"/>
        </w:rPr>
      </w:pPr>
      <w:r w:rsidRPr="007F6587">
        <w:rPr>
          <w:rFonts w:cs="Arial"/>
          <w:color w:val="0070C0"/>
          <w:szCs w:val="18"/>
        </w:rPr>
        <w:t>Value set1 indicates the supported value set (</w:t>
      </w:r>
      <w:proofErr w:type="gramStart"/>
      <w:r w:rsidRPr="007F6587">
        <w:rPr>
          <w:rFonts w:cs="Arial"/>
          <w:color w:val="0070C0"/>
          <w:szCs w:val="18"/>
        </w:rPr>
        <w:t>X,Y</w:t>
      </w:r>
      <w:proofErr w:type="gramEnd"/>
      <w:r w:rsidRPr="007F6587">
        <w:rPr>
          <w:rFonts w:cs="Arial"/>
          <w:color w:val="0070C0"/>
          <w:szCs w:val="18"/>
        </w:rPr>
        <w:t xml:space="preserve">) is (7,3), </w:t>
      </w:r>
    </w:p>
    <w:p w14:paraId="2AE95D82" w14:textId="77777777" w:rsidR="007F6587" w:rsidRPr="007F6587" w:rsidRDefault="009864E7" w:rsidP="007F6587">
      <w:pPr>
        <w:pStyle w:val="ListParagraph"/>
        <w:numPr>
          <w:ilvl w:val="0"/>
          <w:numId w:val="45"/>
        </w:numPr>
        <w:rPr>
          <w:color w:val="0070C0"/>
        </w:rPr>
      </w:pPr>
      <w:r w:rsidRPr="007F6587">
        <w:rPr>
          <w:rFonts w:cs="Arial"/>
          <w:color w:val="0070C0"/>
          <w:szCs w:val="18"/>
        </w:rPr>
        <w:t>value set2 indicates the supported value set (</w:t>
      </w:r>
      <w:proofErr w:type="gramStart"/>
      <w:r w:rsidRPr="007F6587">
        <w:rPr>
          <w:rFonts w:cs="Arial"/>
          <w:color w:val="0070C0"/>
          <w:szCs w:val="18"/>
        </w:rPr>
        <w:t>X,Y</w:t>
      </w:r>
      <w:proofErr w:type="gramEnd"/>
      <w:r w:rsidRPr="007F6587">
        <w:rPr>
          <w:rFonts w:cs="Arial"/>
          <w:color w:val="0070C0"/>
          <w:szCs w:val="18"/>
        </w:rPr>
        <w:t xml:space="preserve">) is (4,3) and (7,3) and </w:t>
      </w:r>
    </w:p>
    <w:p w14:paraId="6795B7D9" w14:textId="73A29C7B" w:rsidR="007F6587" w:rsidRDefault="009864E7" w:rsidP="007F6587">
      <w:pPr>
        <w:pStyle w:val="ListParagraph"/>
        <w:numPr>
          <w:ilvl w:val="0"/>
          <w:numId w:val="45"/>
        </w:numPr>
        <w:rPr>
          <w:color w:val="0070C0"/>
        </w:rPr>
      </w:pPr>
      <w:r w:rsidRPr="007F6587">
        <w:rPr>
          <w:rFonts w:cs="Arial"/>
          <w:color w:val="0070C0"/>
          <w:szCs w:val="18"/>
        </w:rPr>
        <w:t>value set 3 indicates the supported value set (</w:t>
      </w:r>
      <w:proofErr w:type="gramStart"/>
      <w:r w:rsidRPr="007F6587">
        <w:rPr>
          <w:rFonts w:cs="Arial"/>
          <w:color w:val="0070C0"/>
          <w:szCs w:val="18"/>
        </w:rPr>
        <w:t>X,Y</w:t>
      </w:r>
      <w:proofErr w:type="gramEnd"/>
      <w:r w:rsidRPr="007F6587">
        <w:rPr>
          <w:rFonts w:cs="Arial"/>
          <w:color w:val="0070C0"/>
          <w:szCs w:val="18"/>
        </w:rPr>
        <w:t>) is (2,2), (4,3) and (7,3).</w:t>
      </w:r>
      <w:r w:rsidRPr="007F6587">
        <w:rPr>
          <w:color w:val="0070C0"/>
        </w:rPr>
        <w:t xml:space="preserve"> </w:t>
      </w:r>
    </w:p>
    <w:p w14:paraId="43C38878" w14:textId="237061F0" w:rsidR="007F6587" w:rsidRDefault="007F6587" w:rsidP="007F6587">
      <w:r>
        <w:t>When the scheduled carrier is TDD, then the 2 DCIs per MO kicks in, while for FDD, only one TB can be scheduled per MO:</w:t>
      </w:r>
    </w:p>
    <w:p w14:paraId="2D24FF68" w14:textId="77777777" w:rsidR="007F6587" w:rsidRPr="007F6587" w:rsidRDefault="007F6587" w:rsidP="007F6587">
      <w:pPr>
        <w:snapToGrid w:val="0"/>
        <w:spacing w:after="0"/>
        <w:ind w:left="284"/>
        <w:rPr>
          <w:color w:val="0070C0"/>
        </w:rPr>
      </w:pPr>
      <w:r w:rsidRPr="007F6587">
        <w:rPr>
          <w:color w:val="0070C0"/>
        </w:rPr>
        <w:t>For the set of monitoring occasions which are within the same span:</w:t>
      </w:r>
    </w:p>
    <w:p w14:paraId="7F67128B" w14:textId="77777777" w:rsidR="007F6587" w:rsidRPr="007F6587" w:rsidRDefault="007F6587" w:rsidP="007F6587">
      <w:pPr>
        <w:pStyle w:val="ListParagraph"/>
        <w:widowControl w:val="0"/>
        <w:numPr>
          <w:ilvl w:val="0"/>
          <w:numId w:val="29"/>
        </w:numPr>
        <w:snapToGrid w:val="0"/>
        <w:spacing w:after="0" w:line="240" w:lineRule="auto"/>
        <w:ind w:left="704"/>
        <w:contextualSpacing w:val="0"/>
        <w:jc w:val="both"/>
        <w:rPr>
          <w:color w:val="0070C0"/>
        </w:rPr>
      </w:pPr>
      <w:r w:rsidRPr="007F6587">
        <w:rPr>
          <w:color w:val="0070C0"/>
        </w:rPr>
        <w:t xml:space="preserve">Processing </w:t>
      </w:r>
      <w:r w:rsidRPr="00804F84">
        <w:rPr>
          <w:color w:val="0070C0"/>
          <w:highlight w:val="yellow"/>
        </w:rPr>
        <w:t>one unicast DCI scheduling DL and one unicast DCI scheduling UL per scheduled</w:t>
      </w:r>
      <w:r w:rsidRPr="007F6587">
        <w:rPr>
          <w:color w:val="0070C0"/>
        </w:rPr>
        <w:t xml:space="preserve"> CC across this set of monitoring occasions </w:t>
      </w:r>
      <w:r w:rsidRPr="00804F84">
        <w:rPr>
          <w:color w:val="0070C0"/>
          <w:highlight w:val="yellow"/>
        </w:rPr>
        <w:t>for FDD</w:t>
      </w:r>
    </w:p>
    <w:p w14:paraId="303F4F90" w14:textId="77777777" w:rsidR="007F6587" w:rsidRPr="007F6587" w:rsidRDefault="007F6587" w:rsidP="007F6587">
      <w:pPr>
        <w:pStyle w:val="ListParagraph"/>
        <w:widowControl w:val="0"/>
        <w:numPr>
          <w:ilvl w:val="0"/>
          <w:numId w:val="29"/>
        </w:numPr>
        <w:snapToGrid w:val="0"/>
        <w:spacing w:after="0" w:line="240" w:lineRule="auto"/>
        <w:ind w:left="704"/>
        <w:contextualSpacing w:val="0"/>
        <w:jc w:val="both"/>
        <w:rPr>
          <w:color w:val="0070C0"/>
        </w:rPr>
      </w:pPr>
      <w:r w:rsidRPr="007F6587">
        <w:rPr>
          <w:color w:val="0070C0"/>
        </w:rPr>
        <w:t xml:space="preserve">Processing one unicast DCI scheduling DL and </w:t>
      </w:r>
      <w:r w:rsidRPr="007F6587">
        <w:rPr>
          <w:color w:val="0070C0"/>
          <w:highlight w:val="yellow"/>
        </w:rPr>
        <w:t>two unicast DCI scheduling UL per scheduled CC</w:t>
      </w:r>
      <w:r w:rsidRPr="007F6587">
        <w:rPr>
          <w:color w:val="0070C0"/>
        </w:rPr>
        <w:t xml:space="preserve"> across this set of monitoring occasions </w:t>
      </w:r>
      <w:r w:rsidRPr="00804F84">
        <w:rPr>
          <w:color w:val="0070C0"/>
          <w:highlight w:val="yellow"/>
        </w:rPr>
        <w:t>for TDD</w:t>
      </w:r>
    </w:p>
    <w:p w14:paraId="07DC24E7" w14:textId="77777777" w:rsidR="007F6587" w:rsidRPr="007F6587" w:rsidRDefault="007F6587" w:rsidP="007F6587">
      <w:pPr>
        <w:pStyle w:val="ListParagraph"/>
        <w:widowControl w:val="0"/>
        <w:numPr>
          <w:ilvl w:val="0"/>
          <w:numId w:val="29"/>
        </w:numPr>
        <w:snapToGrid w:val="0"/>
        <w:spacing w:after="0" w:line="240" w:lineRule="auto"/>
        <w:ind w:left="704"/>
        <w:contextualSpacing w:val="0"/>
        <w:jc w:val="both"/>
        <w:rPr>
          <w:color w:val="0070C0"/>
        </w:rPr>
      </w:pPr>
      <w:r w:rsidRPr="007F6587">
        <w:rPr>
          <w:color w:val="0070C0"/>
        </w:rPr>
        <w:t xml:space="preserve">Processing </w:t>
      </w:r>
      <w:r w:rsidRPr="007F6587">
        <w:rPr>
          <w:color w:val="0070C0"/>
          <w:highlight w:val="yellow"/>
        </w:rPr>
        <w:t>two unicast DCI scheduling DL</w:t>
      </w:r>
      <w:r w:rsidRPr="007F6587">
        <w:rPr>
          <w:color w:val="0070C0"/>
        </w:rPr>
        <w:t xml:space="preserve"> and one unicast DCI scheduling UL </w:t>
      </w:r>
      <w:r w:rsidRPr="007F6587">
        <w:rPr>
          <w:color w:val="0070C0"/>
          <w:highlight w:val="yellow"/>
        </w:rPr>
        <w:t>per scheduled CC</w:t>
      </w:r>
      <w:r w:rsidRPr="007F6587">
        <w:rPr>
          <w:color w:val="0070C0"/>
        </w:rPr>
        <w:t xml:space="preserve"> across this set of monitoring occasions </w:t>
      </w:r>
      <w:r w:rsidRPr="00804F84">
        <w:rPr>
          <w:color w:val="0070C0"/>
          <w:highlight w:val="yellow"/>
        </w:rPr>
        <w:t>for TDD</w:t>
      </w:r>
    </w:p>
    <w:p w14:paraId="12918957" w14:textId="77777777" w:rsidR="007F6587" w:rsidRPr="007F6587" w:rsidRDefault="007F6587" w:rsidP="007F6587">
      <w:pPr>
        <w:rPr>
          <w:lang w:val="en-US"/>
        </w:rPr>
      </w:pPr>
    </w:p>
    <w:p w14:paraId="4C69B0DA" w14:textId="744E9B67" w:rsidR="002F298D" w:rsidRPr="007F6587" w:rsidRDefault="00B77CFD" w:rsidP="007F6587">
      <w:r w:rsidRPr="007F6587">
        <w:t xml:space="preserve">The capability allows for defining a PDCCH/PDSCH sub-structure within a </w:t>
      </w:r>
      <w:proofErr w:type="gramStart"/>
      <w:r w:rsidRPr="007F6587">
        <w:t>slot, and</w:t>
      </w:r>
      <w:proofErr w:type="gramEnd"/>
      <w:r w:rsidRPr="007F6587">
        <w:t xml:space="preserve"> can be seen as a fairly convenient way of limiting the PDCCH deciding requirement in the UE while still allowing for scheduling frequency that is a fraction of a slot duration e.g. like in the figure below.</w:t>
      </w:r>
    </w:p>
    <w:p w14:paraId="7B29E452" w14:textId="5B60A275" w:rsidR="0090337F" w:rsidRDefault="00804F84" w:rsidP="0090337F">
      <w:pPr>
        <w:keepNext/>
        <w:jc w:val="center"/>
      </w:pPr>
      <w:r w:rsidRPr="00804F84">
        <w:rPr>
          <w:noProof/>
        </w:rPr>
        <w:drawing>
          <wp:inline distT="0" distB="0" distL="0" distR="0" wp14:anchorId="591E56C8" wp14:editId="5606BBD4">
            <wp:extent cx="2713355" cy="512445"/>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3355" cy="512445"/>
                    </a:xfrm>
                    <a:prstGeom prst="rect">
                      <a:avLst/>
                    </a:prstGeom>
                    <a:noFill/>
                    <a:ln>
                      <a:noFill/>
                    </a:ln>
                  </pic:spPr>
                </pic:pic>
              </a:graphicData>
            </a:graphic>
          </wp:inline>
        </w:drawing>
      </w:r>
    </w:p>
    <w:p w14:paraId="5484FF17" w14:textId="454BE1E4" w:rsidR="00B77CFD" w:rsidRDefault="0090337F" w:rsidP="0090337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44A26">
        <w:t xml:space="preserve">An example of </w:t>
      </w:r>
      <w:r w:rsidR="007F6587">
        <w:t>4-symbol span-gap</w:t>
      </w:r>
      <w:r w:rsidR="00804F84">
        <w:t xml:space="preserve"> (self-scheduled carrier)</w:t>
      </w:r>
    </w:p>
    <w:p w14:paraId="4940C5B9" w14:textId="77777777" w:rsidR="001B5BF7" w:rsidRDefault="001B5BF7" w:rsidP="00804F84"/>
    <w:p w14:paraId="0B25AF17" w14:textId="337B9179" w:rsidR="00804F84" w:rsidRDefault="001B5BF7" w:rsidP="00804F84">
      <w:r>
        <w:t xml:space="preserve">The 4-symbol span gap could schedule up to 3 slots </w:t>
      </w:r>
      <w:r w:rsidR="00581DA6">
        <w:t>on a</w:t>
      </w:r>
      <w:r>
        <w:t xml:space="preserve"> scheduled </w:t>
      </w:r>
      <w:r w:rsidR="00581DA6">
        <w:t xml:space="preserve">FDD </w:t>
      </w:r>
      <w:r>
        <w:t>carrier</w:t>
      </w:r>
      <w:r w:rsidR="00581DA6">
        <w:t xml:space="preserve"> or 6 slots on a scheduled TDD carrier</w:t>
      </w:r>
      <w:r>
        <w:t>, while</w:t>
      </w:r>
      <w:r w:rsidR="00581DA6">
        <w:t xml:space="preserve"> scheduling</w:t>
      </w:r>
      <w:r>
        <w:t xml:space="preserve"> no data on the scheduling carrier. At the same time, the distributed CORESETS make it very difficult </w:t>
      </w:r>
      <w:r>
        <w:lastRenderedPageBreak/>
        <w:t>to utilize the scheduling carrier for data transmission</w:t>
      </w:r>
      <w:r w:rsidR="00581DA6">
        <w:t xml:space="preserve"> to any other user</w:t>
      </w:r>
      <w:r>
        <w:t>, while it would be possible to dedicate the scheduling carrier as a PDCCH-only carrier.</w:t>
      </w:r>
    </w:p>
    <w:p w14:paraId="2F115E52" w14:textId="211168A3" w:rsidR="001B5BF7" w:rsidRDefault="001B5BF7" w:rsidP="00804F84">
      <w:r w:rsidRPr="001B5BF7">
        <w:rPr>
          <w:noProof/>
        </w:rPr>
        <w:drawing>
          <wp:inline distT="0" distB="0" distL="0" distR="0" wp14:anchorId="18166094" wp14:editId="0A10E38A">
            <wp:extent cx="6120765" cy="3149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4960"/>
                    </a:xfrm>
                    <a:prstGeom prst="rect">
                      <a:avLst/>
                    </a:prstGeom>
                    <a:noFill/>
                    <a:ln>
                      <a:noFill/>
                    </a:ln>
                  </pic:spPr>
                </pic:pic>
              </a:graphicData>
            </a:graphic>
          </wp:inline>
        </w:drawing>
      </w:r>
    </w:p>
    <w:p w14:paraId="28A42CEA" w14:textId="77777777" w:rsidR="00E27D87" w:rsidRDefault="00E27D87" w:rsidP="00804F84">
      <w:pPr>
        <w:rPr>
          <w:b/>
        </w:rPr>
      </w:pPr>
    </w:p>
    <w:p w14:paraId="2B8517DF" w14:textId="2B5CF809" w:rsidR="001B5BF7" w:rsidRPr="001B5BF7" w:rsidRDefault="001B5BF7" w:rsidP="00804F84">
      <w:r>
        <w:rPr>
          <w:b/>
        </w:rPr>
        <w:t xml:space="preserve">Observation: </w:t>
      </w:r>
      <w:r w:rsidR="00581DA6">
        <w:t>Using feature 3-5b for low-to-high scheduling blocks the low-SCS carrier from being efficiently usable for data scheduling</w:t>
      </w:r>
      <w:r w:rsidR="00070CC6">
        <w:t xml:space="preserve"> for any user</w:t>
      </w:r>
      <w:r w:rsidR="00581DA6">
        <w:t>.</w:t>
      </w:r>
    </w:p>
    <w:p w14:paraId="77D3463F" w14:textId="1BEDC11D" w:rsidR="00804F84" w:rsidRPr="00070CC6" w:rsidRDefault="00070CC6" w:rsidP="00804F84">
      <w:r>
        <w:rPr>
          <w:b/>
        </w:rPr>
        <w:t xml:space="preserve">Proposal: </w:t>
      </w:r>
      <w:r w:rsidR="00E27D87">
        <w:t>Incr</w:t>
      </w:r>
      <w:r w:rsidR="00E27D87" w:rsidRPr="00E27D87">
        <w:t>ease the number of valid DCIs per monitoring occasion to 4 per scheduled cell</w:t>
      </w:r>
      <w:r w:rsidR="00E27D87">
        <w:t>.</w:t>
      </w:r>
    </w:p>
    <w:p w14:paraId="75158EBF" w14:textId="2349061B" w:rsidR="00885580" w:rsidRPr="00ED1327" w:rsidRDefault="00885580" w:rsidP="00885580">
      <w:pPr>
        <w:pStyle w:val="Heading1"/>
        <w:numPr>
          <w:ilvl w:val="0"/>
          <w:numId w:val="0"/>
        </w:numPr>
      </w:pPr>
      <w:r>
        <w:t>References</w:t>
      </w:r>
    </w:p>
    <w:p w14:paraId="71618093" w14:textId="36FBEF09" w:rsidR="00492CBB" w:rsidRDefault="00CF59B2" w:rsidP="006C5E7D">
      <w:pPr>
        <w:pStyle w:val="ListParagraph"/>
        <w:numPr>
          <w:ilvl w:val="0"/>
          <w:numId w:val="3"/>
        </w:numPr>
      </w:pPr>
      <w:r>
        <w:t>R1-1910854</w:t>
      </w:r>
      <w:r>
        <w:tab/>
      </w:r>
      <w:r w:rsidRPr="00CF59B2">
        <w:t>[98-NR-23] email discussion summary on CCS remaining issues</w:t>
      </w:r>
      <w:r>
        <w:t>, Nokia, Nokia Shanghai Bell</w:t>
      </w:r>
    </w:p>
    <w:sectPr w:rsidR="00492C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76428" w14:textId="77777777" w:rsidR="00DC1C8F" w:rsidRDefault="00DC1C8F">
      <w:r>
        <w:separator/>
      </w:r>
    </w:p>
  </w:endnote>
  <w:endnote w:type="continuationSeparator" w:id="0">
    <w:p w14:paraId="431F8682" w14:textId="77777777" w:rsidR="00DC1C8F" w:rsidRDefault="00DC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EE801" w14:textId="77777777" w:rsidR="00DC1C8F" w:rsidRDefault="00DC1C8F">
      <w:r>
        <w:separator/>
      </w:r>
    </w:p>
  </w:footnote>
  <w:footnote w:type="continuationSeparator" w:id="0">
    <w:p w14:paraId="4BDAC379" w14:textId="77777777" w:rsidR="00DC1C8F" w:rsidRDefault="00DC1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CA73C3"/>
    <w:multiLevelType w:val="hybridMultilevel"/>
    <w:tmpl w:val="A78C3172"/>
    <w:lvl w:ilvl="0" w:tplc="BBC619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B74FD"/>
    <w:multiLevelType w:val="hybridMultilevel"/>
    <w:tmpl w:val="D2EC61CE"/>
    <w:lvl w:ilvl="0" w:tplc="BBC619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B17278"/>
    <w:multiLevelType w:val="hybridMultilevel"/>
    <w:tmpl w:val="9D125274"/>
    <w:lvl w:ilvl="0" w:tplc="592452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B2F30"/>
    <w:multiLevelType w:val="hybridMultilevel"/>
    <w:tmpl w:val="16DE9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E2F12"/>
    <w:multiLevelType w:val="hybridMultilevel"/>
    <w:tmpl w:val="F498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E539A3"/>
    <w:multiLevelType w:val="hybridMultilevel"/>
    <w:tmpl w:val="DAD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8779D"/>
    <w:multiLevelType w:val="hybridMultilevel"/>
    <w:tmpl w:val="2EF0F61E"/>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34C81"/>
    <w:multiLevelType w:val="hybridMultilevel"/>
    <w:tmpl w:val="7586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112B3C"/>
    <w:multiLevelType w:val="hybridMultilevel"/>
    <w:tmpl w:val="A2C6F010"/>
    <w:lvl w:ilvl="0" w:tplc="5C84ABBA">
      <w:start w:val="1"/>
      <w:numFmt w:val="bullet"/>
      <w:lvlText w:val="•"/>
      <w:lvlJc w:val="left"/>
      <w:pPr>
        <w:tabs>
          <w:tab w:val="num" w:pos="720"/>
        </w:tabs>
        <w:ind w:left="720" w:hanging="360"/>
      </w:pPr>
      <w:rPr>
        <w:rFonts w:ascii="Arial" w:hAnsi="Arial" w:hint="default"/>
      </w:rPr>
    </w:lvl>
    <w:lvl w:ilvl="1" w:tplc="A3068634">
      <w:start w:val="188"/>
      <w:numFmt w:val="bullet"/>
      <w:lvlText w:val="–"/>
      <w:lvlJc w:val="left"/>
      <w:pPr>
        <w:tabs>
          <w:tab w:val="num" w:pos="1440"/>
        </w:tabs>
        <w:ind w:left="1440" w:hanging="360"/>
      </w:pPr>
      <w:rPr>
        <w:rFonts w:ascii="Arial" w:hAnsi="Arial" w:hint="default"/>
      </w:rPr>
    </w:lvl>
    <w:lvl w:ilvl="2" w:tplc="E1809000" w:tentative="1">
      <w:start w:val="1"/>
      <w:numFmt w:val="bullet"/>
      <w:lvlText w:val="•"/>
      <w:lvlJc w:val="left"/>
      <w:pPr>
        <w:tabs>
          <w:tab w:val="num" w:pos="2160"/>
        </w:tabs>
        <w:ind w:left="2160" w:hanging="360"/>
      </w:pPr>
      <w:rPr>
        <w:rFonts w:ascii="Arial" w:hAnsi="Arial" w:hint="default"/>
      </w:rPr>
    </w:lvl>
    <w:lvl w:ilvl="3" w:tplc="E1BECCEA" w:tentative="1">
      <w:start w:val="1"/>
      <w:numFmt w:val="bullet"/>
      <w:lvlText w:val="•"/>
      <w:lvlJc w:val="left"/>
      <w:pPr>
        <w:tabs>
          <w:tab w:val="num" w:pos="2880"/>
        </w:tabs>
        <w:ind w:left="2880" w:hanging="360"/>
      </w:pPr>
      <w:rPr>
        <w:rFonts w:ascii="Arial" w:hAnsi="Arial" w:hint="default"/>
      </w:rPr>
    </w:lvl>
    <w:lvl w:ilvl="4" w:tplc="EA288A8C" w:tentative="1">
      <w:start w:val="1"/>
      <w:numFmt w:val="bullet"/>
      <w:lvlText w:val="•"/>
      <w:lvlJc w:val="left"/>
      <w:pPr>
        <w:tabs>
          <w:tab w:val="num" w:pos="3600"/>
        </w:tabs>
        <w:ind w:left="3600" w:hanging="360"/>
      </w:pPr>
      <w:rPr>
        <w:rFonts w:ascii="Arial" w:hAnsi="Arial" w:hint="default"/>
      </w:rPr>
    </w:lvl>
    <w:lvl w:ilvl="5" w:tplc="ACB8A8F2" w:tentative="1">
      <w:start w:val="1"/>
      <w:numFmt w:val="bullet"/>
      <w:lvlText w:val="•"/>
      <w:lvlJc w:val="left"/>
      <w:pPr>
        <w:tabs>
          <w:tab w:val="num" w:pos="4320"/>
        </w:tabs>
        <w:ind w:left="4320" w:hanging="360"/>
      </w:pPr>
      <w:rPr>
        <w:rFonts w:ascii="Arial" w:hAnsi="Arial" w:hint="default"/>
      </w:rPr>
    </w:lvl>
    <w:lvl w:ilvl="6" w:tplc="C74A0668" w:tentative="1">
      <w:start w:val="1"/>
      <w:numFmt w:val="bullet"/>
      <w:lvlText w:val="•"/>
      <w:lvlJc w:val="left"/>
      <w:pPr>
        <w:tabs>
          <w:tab w:val="num" w:pos="5040"/>
        </w:tabs>
        <w:ind w:left="5040" w:hanging="360"/>
      </w:pPr>
      <w:rPr>
        <w:rFonts w:ascii="Arial" w:hAnsi="Arial" w:hint="default"/>
      </w:rPr>
    </w:lvl>
    <w:lvl w:ilvl="7" w:tplc="44F00DE8" w:tentative="1">
      <w:start w:val="1"/>
      <w:numFmt w:val="bullet"/>
      <w:lvlText w:val="•"/>
      <w:lvlJc w:val="left"/>
      <w:pPr>
        <w:tabs>
          <w:tab w:val="num" w:pos="5760"/>
        </w:tabs>
        <w:ind w:left="5760" w:hanging="360"/>
      </w:pPr>
      <w:rPr>
        <w:rFonts w:ascii="Arial" w:hAnsi="Arial" w:hint="default"/>
      </w:rPr>
    </w:lvl>
    <w:lvl w:ilvl="8" w:tplc="FDF422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6"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4A86D17"/>
    <w:multiLevelType w:val="hybridMultilevel"/>
    <w:tmpl w:val="D97E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C466A"/>
    <w:multiLevelType w:val="hybridMultilevel"/>
    <w:tmpl w:val="23028580"/>
    <w:lvl w:ilvl="0" w:tplc="EC9A8378">
      <w:start w:val="1"/>
      <w:numFmt w:val="bullet"/>
      <w:lvlText w:val="•"/>
      <w:lvlJc w:val="left"/>
      <w:pPr>
        <w:tabs>
          <w:tab w:val="num" w:pos="360"/>
        </w:tabs>
        <w:ind w:left="360" w:hanging="360"/>
      </w:pPr>
      <w:rPr>
        <w:rFonts w:ascii="Arial" w:hAnsi="Arial" w:hint="default"/>
      </w:rPr>
    </w:lvl>
    <w:lvl w:ilvl="1" w:tplc="FB4649D4">
      <w:start w:val="188"/>
      <w:numFmt w:val="bullet"/>
      <w:lvlText w:val="–"/>
      <w:lvlJc w:val="left"/>
      <w:pPr>
        <w:tabs>
          <w:tab w:val="num" w:pos="1080"/>
        </w:tabs>
        <w:ind w:left="1080" w:hanging="360"/>
      </w:pPr>
      <w:rPr>
        <w:rFonts w:ascii="Arial" w:hAnsi="Arial" w:hint="default"/>
      </w:rPr>
    </w:lvl>
    <w:lvl w:ilvl="2" w:tplc="B576138A" w:tentative="1">
      <w:start w:val="1"/>
      <w:numFmt w:val="bullet"/>
      <w:lvlText w:val="•"/>
      <w:lvlJc w:val="left"/>
      <w:pPr>
        <w:tabs>
          <w:tab w:val="num" w:pos="1800"/>
        </w:tabs>
        <w:ind w:left="1800" w:hanging="360"/>
      </w:pPr>
      <w:rPr>
        <w:rFonts w:ascii="Arial" w:hAnsi="Arial" w:hint="default"/>
      </w:rPr>
    </w:lvl>
    <w:lvl w:ilvl="3" w:tplc="1BF0163A" w:tentative="1">
      <w:start w:val="1"/>
      <w:numFmt w:val="bullet"/>
      <w:lvlText w:val="•"/>
      <w:lvlJc w:val="left"/>
      <w:pPr>
        <w:tabs>
          <w:tab w:val="num" w:pos="2520"/>
        </w:tabs>
        <w:ind w:left="2520" w:hanging="360"/>
      </w:pPr>
      <w:rPr>
        <w:rFonts w:ascii="Arial" w:hAnsi="Arial" w:hint="default"/>
      </w:rPr>
    </w:lvl>
    <w:lvl w:ilvl="4" w:tplc="F82C4670" w:tentative="1">
      <w:start w:val="1"/>
      <w:numFmt w:val="bullet"/>
      <w:lvlText w:val="•"/>
      <w:lvlJc w:val="left"/>
      <w:pPr>
        <w:tabs>
          <w:tab w:val="num" w:pos="3240"/>
        </w:tabs>
        <w:ind w:left="3240" w:hanging="360"/>
      </w:pPr>
      <w:rPr>
        <w:rFonts w:ascii="Arial" w:hAnsi="Arial" w:hint="default"/>
      </w:rPr>
    </w:lvl>
    <w:lvl w:ilvl="5" w:tplc="85B2A522" w:tentative="1">
      <w:start w:val="1"/>
      <w:numFmt w:val="bullet"/>
      <w:lvlText w:val="•"/>
      <w:lvlJc w:val="left"/>
      <w:pPr>
        <w:tabs>
          <w:tab w:val="num" w:pos="3960"/>
        </w:tabs>
        <w:ind w:left="3960" w:hanging="360"/>
      </w:pPr>
      <w:rPr>
        <w:rFonts w:ascii="Arial" w:hAnsi="Arial" w:hint="default"/>
      </w:rPr>
    </w:lvl>
    <w:lvl w:ilvl="6" w:tplc="B96293AC" w:tentative="1">
      <w:start w:val="1"/>
      <w:numFmt w:val="bullet"/>
      <w:lvlText w:val="•"/>
      <w:lvlJc w:val="left"/>
      <w:pPr>
        <w:tabs>
          <w:tab w:val="num" w:pos="4680"/>
        </w:tabs>
        <w:ind w:left="4680" w:hanging="360"/>
      </w:pPr>
      <w:rPr>
        <w:rFonts w:ascii="Arial" w:hAnsi="Arial" w:hint="default"/>
      </w:rPr>
    </w:lvl>
    <w:lvl w:ilvl="7" w:tplc="B2CE038A" w:tentative="1">
      <w:start w:val="1"/>
      <w:numFmt w:val="bullet"/>
      <w:lvlText w:val="•"/>
      <w:lvlJc w:val="left"/>
      <w:pPr>
        <w:tabs>
          <w:tab w:val="num" w:pos="5400"/>
        </w:tabs>
        <w:ind w:left="5400" w:hanging="360"/>
      </w:pPr>
      <w:rPr>
        <w:rFonts w:ascii="Arial" w:hAnsi="Arial" w:hint="default"/>
      </w:rPr>
    </w:lvl>
    <w:lvl w:ilvl="8" w:tplc="463028E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8"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FAD5CEB"/>
    <w:multiLevelType w:val="hybridMultilevel"/>
    <w:tmpl w:val="4CFC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16"/>
  </w:num>
  <w:num w:numId="4">
    <w:abstractNumId w:val="0"/>
  </w:num>
  <w:num w:numId="5">
    <w:abstractNumId w:val="8"/>
  </w:num>
  <w:num w:numId="6">
    <w:abstractNumId w:val="3"/>
  </w:num>
  <w:num w:numId="7">
    <w:abstractNumId w:val="27"/>
  </w:num>
  <w:num w:numId="8">
    <w:abstractNumId w:val="20"/>
  </w:num>
  <w:num w:numId="9">
    <w:abstractNumId w:val="32"/>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8"/>
  </w:num>
  <w:num w:numId="14">
    <w:abstractNumId w:val="3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7"/>
  </w:num>
  <w:num w:numId="18">
    <w:abstractNumId w:val="25"/>
  </w:num>
  <w:num w:numId="19">
    <w:abstractNumId w:val="2"/>
  </w:num>
  <w:num w:numId="20">
    <w:abstractNumId w:val="21"/>
  </w:num>
  <w:num w:numId="21">
    <w:abstractNumId w:val="29"/>
  </w:num>
  <w:num w:numId="22">
    <w:abstractNumId w:val="35"/>
  </w:num>
  <w:num w:numId="23">
    <w:abstractNumId w:val="31"/>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6"/>
  </w:num>
  <w:num w:numId="29">
    <w:abstractNumId w:val="23"/>
  </w:num>
  <w:num w:numId="30">
    <w:abstractNumId w:val="13"/>
  </w:num>
  <w:num w:numId="31">
    <w:abstractNumId w:val="11"/>
  </w:num>
  <w:num w:numId="32">
    <w:abstractNumId w:val="36"/>
  </w:num>
  <w:num w:numId="33">
    <w:abstractNumId w:val="38"/>
  </w:num>
  <w:num w:numId="34">
    <w:abstractNumId w:val="14"/>
  </w:num>
  <w:num w:numId="35">
    <w:abstractNumId w:val="38"/>
  </w:num>
  <w:num w:numId="36">
    <w:abstractNumId w:val="12"/>
  </w:num>
  <w:num w:numId="37">
    <w:abstractNumId w:val="17"/>
  </w:num>
  <w:num w:numId="38">
    <w:abstractNumId w:val="30"/>
  </w:num>
  <w:num w:numId="39">
    <w:abstractNumId w:val="9"/>
  </w:num>
  <w:num w:numId="40">
    <w:abstractNumId w:val="24"/>
  </w:num>
  <w:num w:numId="41">
    <w:abstractNumId w:val="28"/>
  </w:num>
  <w:num w:numId="42">
    <w:abstractNumId w:val="10"/>
  </w:num>
  <w:num w:numId="43">
    <w:abstractNumId w:val="22"/>
  </w:num>
  <w:num w:numId="44">
    <w:abstractNumId w:val="5"/>
  </w:num>
  <w:num w:numId="4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60D8E"/>
    <w:rsid w:val="00062159"/>
    <w:rsid w:val="00063C87"/>
    <w:rsid w:val="00063D9E"/>
    <w:rsid w:val="00064AD3"/>
    <w:rsid w:val="00065088"/>
    <w:rsid w:val="000652D3"/>
    <w:rsid w:val="000654A0"/>
    <w:rsid w:val="00065E94"/>
    <w:rsid w:val="000701AD"/>
    <w:rsid w:val="000707CA"/>
    <w:rsid w:val="00070CC6"/>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8B2"/>
    <w:rsid w:val="00081EC2"/>
    <w:rsid w:val="00082154"/>
    <w:rsid w:val="0008322B"/>
    <w:rsid w:val="00083800"/>
    <w:rsid w:val="00084A65"/>
    <w:rsid w:val="0008559A"/>
    <w:rsid w:val="000902C2"/>
    <w:rsid w:val="00091A92"/>
    <w:rsid w:val="000925D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5BF7"/>
    <w:rsid w:val="001B762E"/>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87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3398"/>
    <w:rsid w:val="00244194"/>
    <w:rsid w:val="0024424F"/>
    <w:rsid w:val="00244340"/>
    <w:rsid w:val="00244D28"/>
    <w:rsid w:val="00245689"/>
    <w:rsid w:val="00245720"/>
    <w:rsid w:val="00245A6F"/>
    <w:rsid w:val="00245FD5"/>
    <w:rsid w:val="002477DF"/>
    <w:rsid w:val="00247929"/>
    <w:rsid w:val="00251AD6"/>
    <w:rsid w:val="00252C17"/>
    <w:rsid w:val="00252C9B"/>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98D"/>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8E5"/>
    <w:rsid w:val="00321154"/>
    <w:rsid w:val="003211B0"/>
    <w:rsid w:val="00321EDA"/>
    <w:rsid w:val="003224AA"/>
    <w:rsid w:val="003224E7"/>
    <w:rsid w:val="0032374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6C6F"/>
    <w:rsid w:val="0037739D"/>
    <w:rsid w:val="0037751C"/>
    <w:rsid w:val="00380B66"/>
    <w:rsid w:val="00380F3F"/>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03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1DA6"/>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6BF"/>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5E7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52B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7F6587"/>
    <w:rsid w:val="008006C6"/>
    <w:rsid w:val="00800C52"/>
    <w:rsid w:val="0080153E"/>
    <w:rsid w:val="008018C8"/>
    <w:rsid w:val="0080263A"/>
    <w:rsid w:val="0080329D"/>
    <w:rsid w:val="0080470E"/>
    <w:rsid w:val="00804F84"/>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98F"/>
    <w:rsid w:val="00836B7A"/>
    <w:rsid w:val="00836E97"/>
    <w:rsid w:val="00837B90"/>
    <w:rsid w:val="008409AA"/>
    <w:rsid w:val="00840FB8"/>
    <w:rsid w:val="008410F1"/>
    <w:rsid w:val="00842E0C"/>
    <w:rsid w:val="00843A7A"/>
    <w:rsid w:val="008447F5"/>
    <w:rsid w:val="00846292"/>
    <w:rsid w:val="00846578"/>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4CD"/>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37F"/>
    <w:rsid w:val="009036BC"/>
    <w:rsid w:val="00903D30"/>
    <w:rsid w:val="0090405D"/>
    <w:rsid w:val="00904414"/>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6E9E"/>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4E7"/>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A33"/>
    <w:rsid w:val="00AD3CAD"/>
    <w:rsid w:val="00AD53C1"/>
    <w:rsid w:val="00AD5A99"/>
    <w:rsid w:val="00AD69FF"/>
    <w:rsid w:val="00AD702B"/>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C6"/>
    <w:rsid w:val="00AF6135"/>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77CFD"/>
    <w:rsid w:val="00B80D90"/>
    <w:rsid w:val="00B82613"/>
    <w:rsid w:val="00B828B5"/>
    <w:rsid w:val="00B82ED8"/>
    <w:rsid w:val="00B83E1B"/>
    <w:rsid w:val="00B845D0"/>
    <w:rsid w:val="00B84A80"/>
    <w:rsid w:val="00B84E9C"/>
    <w:rsid w:val="00B85522"/>
    <w:rsid w:val="00B90DE9"/>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374E8"/>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297"/>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9B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C53"/>
    <w:rsid w:val="00D12325"/>
    <w:rsid w:val="00D12761"/>
    <w:rsid w:val="00D13CFD"/>
    <w:rsid w:val="00D14487"/>
    <w:rsid w:val="00D14CE1"/>
    <w:rsid w:val="00D15E7E"/>
    <w:rsid w:val="00D16058"/>
    <w:rsid w:val="00D16FDD"/>
    <w:rsid w:val="00D20016"/>
    <w:rsid w:val="00D207A7"/>
    <w:rsid w:val="00D2132A"/>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80C"/>
    <w:rsid w:val="00DA18A2"/>
    <w:rsid w:val="00DA19D0"/>
    <w:rsid w:val="00DA207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C04"/>
    <w:rsid w:val="00DB0D2A"/>
    <w:rsid w:val="00DB11CD"/>
    <w:rsid w:val="00DB1DAB"/>
    <w:rsid w:val="00DB22A7"/>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1C8F"/>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5EDD"/>
    <w:rsid w:val="00E26727"/>
    <w:rsid w:val="00E26970"/>
    <w:rsid w:val="00E2728F"/>
    <w:rsid w:val="00E27791"/>
    <w:rsid w:val="00E27D87"/>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43B5"/>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1059"/>
    <w:rsid w:val="00EA1D43"/>
    <w:rsid w:val="00EA232F"/>
    <w:rsid w:val="00EA3922"/>
    <w:rsid w:val="00EA4C04"/>
    <w:rsid w:val="00EA4EC9"/>
    <w:rsid w:val="00EA568E"/>
    <w:rsid w:val="00EA5E0F"/>
    <w:rsid w:val="00EA6169"/>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97"/>
    <w:rsid w:val="00EE0E5D"/>
    <w:rsid w:val="00EE11C2"/>
    <w:rsid w:val="00EE2A61"/>
    <w:rsid w:val="00EE3663"/>
    <w:rsid w:val="00EE41C4"/>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D6"/>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character" w:styleId="UnresolvedMention">
    <w:name w:val="Unresolved Mention"/>
    <w:basedOn w:val="DefaultParagraphFont"/>
    <w:uiPriority w:val="99"/>
    <w:semiHidden/>
    <w:unhideWhenUsed/>
    <w:rsid w:val="00492CBB"/>
    <w:rPr>
      <w:color w:val="605E5C"/>
      <w:shd w:val="clear" w:color="auto" w:fill="E1DFDD"/>
    </w:rPr>
  </w:style>
  <w:style w:type="character" w:customStyle="1" w:styleId="TALCar">
    <w:name w:val="TAL Car"/>
    <w:link w:val="TAL"/>
    <w:qFormat/>
    <w:locked/>
    <w:rsid w:val="009864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58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19936366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5AIRPNAIUNRU-1830940522-6243</_dlc_DocId>
    <_dlc_DocIdUrl xmlns="71c5aaf6-e6ce-465b-b873-5148d2a4c105">
      <Url>https://nokia.sharepoint.com/sites/c5g/5gradio/_layouts/15/DocIdRedir.aspx?ID=5AIRPNAIUNRU-1830940522-6243</Url>
      <Description>5AIRPNAIUNRU-1830940522-6243</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2D476F82-3C4B-4E12-AB6E-A7FB24CE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452</Words>
  <Characters>2582</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cp:lastModifiedBy>
  <cp:revision>3</cp:revision>
  <cp:lastPrinted>2016-06-20T06:35:00Z</cp:lastPrinted>
  <dcterms:created xsi:type="dcterms:W3CDTF">2019-10-03T19:06:00Z</dcterms:created>
  <dcterms:modified xsi:type="dcterms:W3CDTF">2019-11-08T14:51:00Z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47896760-8ba0-403f-a2c9-9a1742897df4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